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18" w:rsidRDefault="00ED5B1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الع</w:t>
      </w:r>
      <w:r>
        <w:rPr>
          <w:rFonts w:ascii="Traditional Arabic" w:hAnsi="Traditional Arabic" w:cs="Traditional Arabic"/>
          <w:sz w:val="36"/>
          <w:szCs w:val="36"/>
          <w:rtl/>
        </w:rPr>
        <w:t>مرة إلى العمرة كفارة لما بينهما</w:t>
      </w:r>
    </w:p>
    <w:p w:rsidR="00B17E58" w:rsidRDefault="00ED5B18" w:rsidP="00ED5B1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17E58" w:rsidRDefault="00ED5B1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العمرة إلى العمرة كفارة لما بينهما والحج المبرور ليس له جزاء إلا الجنة</w:t>
      </w:r>
    </w:p>
    <w:p w:rsidR="00B17E58" w:rsidRDefault="00ED5B18" w:rsidP="00ED5B1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17E5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17E58"/>
    <w:rsid w:val="00B17E58"/>
    <w:rsid w:val="00ED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A2A08"/>
  <w15:docId w15:val="{EB3F6751-5099-4BE5-8D37-518EB7B2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