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C24" w:rsidRDefault="008C7AB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إنما </w:t>
      </w:r>
      <w:r w:rsidR="00607C24">
        <w:rPr>
          <w:rFonts w:ascii="Traditional Arabic" w:hAnsi="Traditional Arabic" w:cs="Traditional Arabic"/>
          <w:sz w:val="36"/>
          <w:szCs w:val="36"/>
          <w:rtl/>
        </w:rPr>
        <w:t>له من ماله ثلاث</w:t>
      </w:r>
    </w:p>
    <w:p w:rsidR="00FF345C" w:rsidRDefault="00607C24" w:rsidP="00607C2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FF345C" w:rsidRDefault="00607C24" w:rsidP="00607C2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العبد مالي مالي إنما له من ماله ثلاث: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ما أكل فأفنى أو لبس فأبلى أو أعطى فاقتنى وما سوى ذلك فهو ذاهب وتاركه للناس</w:t>
      </w:r>
    </w:p>
    <w:p w:rsidR="00FF345C" w:rsidRDefault="00607C2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F345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F345C"/>
    <w:rsid w:val="00607C24"/>
    <w:rsid w:val="008C7AB9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E3721"/>
  <w15:docId w15:val="{92A61AC9-570B-4EFC-B668-FF68253B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2015-02-05T11:40:00Z</dcterms:created>
  <dcterms:modified xsi:type="dcterms:W3CDTF">2017-04-04T09:33:00Z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