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C8909" w14:textId="77777777" w:rsidR="00994B19" w:rsidRDefault="00994B19" w:rsidP="00994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فضل سورة الفاتحة</w:t>
      </w:r>
    </w:p>
    <w:p w14:paraId="04D2054D" w14:textId="77777777" w:rsidR="00994B19" w:rsidRDefault="00994B19" w:rsidP="00994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8220516" w14:textId="77777777" w:rsidR="00994B19" w:rsidRDefault="00994B19" w:rsidP="00994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صلاة لمن لم يقرأ بفاتحة الكتاب.</w:t>
      </w:r>
    </w:p>
    <w:p w14:paraId="1C29D39E" w14:textId="77777777" w:rsidR="00994B19" w:rsidRDefault="00994B19" w:rsidP="00994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937262D" w14:textId="0B493677" w:rsidR="005760B2" w:rsidRPr="00994B19" w:rsidRDefault="00994B19" w:rsidP="00994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قراءة الفاتحة في كل ركعة ركن من أركان الصلاة.</w:t>
      </w:r>
    </w:p>
    <w:sectPr w:rsidR="005760B2" w:rsidRPr="00994B19" w:rsidSect="006941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5760B2"/>
    <w:rsid w:val="008D61BE"/>
    <w:rsid w:val="0099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2020-05-26T11:40:00Z</dcterms:modified>
</cp:coreProperties>
</file>