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C6" w:rsidRDefault="000328C6" w:rsidP="005F79E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5F79ED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5F79ED">
        <w:rPr>
          <w:rFonts w:ascii="Traditional Arabic" w:eastAsiaTheme="minorHAnsi" w:hAnsi="Traditional Arabic" w:cs="Traditional Arabic"/>
          <w:sz w:val="36"/>
          <w:szCs w:val="36"/>
          <w:rtl/>
        </w:rPr>
        <w:t>إذا أوى إلى فراشه</w:t>
      </w:r>
    </w:p>
    <w:p w:rsidR="000328C6" w:rsidRDefault="000328C6" w:rsidP="000328C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حذيفة بن اليمان رضي الله عنه :</w:t>
      </w:r>
    </w:p>
    <w:p w:rsidR="000328C6" w:rsidRDefault="000328C6" w:rsidP="000328C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كان النبي صلى الله عليه وسلم إذا أوى إلى فراشه قال : باسمك أموت وأحيا . وإذا قام قال : الحمد لله الذي أحيانا بعد ما أماتنا وإليه النشور </w:t>
      </w:r>
      <w:r w:rsidR="005F79ED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0328C6" w:rsidRDefault="000328C6" w:rsidP="000328C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</w:p>
    <w:p w:rsidR="002C12E2" w:rsidRPr="005F79ED" w:rsidRDefault="000328C6" w:rsidP="005F79E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وإليه النشور، أي: إليه الإحياء للبعث، أو المرجع في نيل الثواب</w:t>
      </w:r>
      <w:bookmarkEnd w:id="0"/>
    </w:p>
    <w:sectPr w:rsidR="002C12E2" w:rsidRPr="005F79ED" w:rsidSect="006B11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0328C6"/>
    <w:rsid w:val="00150E56"/>
    <w:rsid w:val="001B07D7"/>
    <w:rsid w:val="002C12E2"/>
    <w:rsid w:val="005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88A7EF"/>
  <w15:docId w15:val="{1828B317-021D-42DF-8740-F5CC09DF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1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2017-10-15T17:08:00Z</dcterms:modified>
</cp:coreProperties>
</file>