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74" w:rsidRDefault="00E52574" w:rsidP="00627F4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</w:t>
      </w:r>
      <w:r>
        <w:rPr>
          <w:rFonts w:ascii="Traditional Arabic" w:hAnsi="Traditional Arabic" w:cs="Traditional Arabic" w:hint="cs"/>
          <w:sz w:val="36"/>
          <w:szCs w:val="36"/>
          <w:rtl/>
        </w:rPr>
        <w:t>ان يعتكف العشر الأواخر من رمضان</w:t>
      </w:r>
    </w:p>
    <w:p w:rsidR="004773B5" w:rsidRDefault="000E054D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 أن النبي</w:t>
      </w:r>
      <w:r w:rsidR="00627F44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كان يعتكف العشر الأواخر من رمضان حتى توفاه الله ثم اعتكف أزواجه من بعده</w:t>
      </w:r>
    </w:p>
    <w:p w:rsidR="00BD5FB0" w:rsidRPr="00627F44" w:rsidRDefault="00BD5FB0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D5FB0" w:rsidRPr="00627F4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054D"/>
    <w:rsid w:val="000E271F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52574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BDA8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2015-02-17T06:32:00Z</dcterms:created>
  <dcterms:modified xsi:type="dcterms:W3CDTF">2017-04-18T12:53:00Z</dcterms:modified>
</cp:coreProperties>
</file>