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704E" w14:textId="3EDB709E" w:rsidR="00BE15FE" w:rsidRDefault="0FF2E9AD" w:rsidP="007923F8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FF2E9AD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7923F8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7923F8" w:rsidRPr="0FF2E9AD">
        <w:rPr>
          <w:rFonts w:ascii="Traditional Arabic" w:eastAsia="Traditional Arabic" w:hAnsi="Traditional Arabic" w:cs="Traditional Arabic"/>
          <w:sz w:val="36"/>
          <w:szCs w:val="36"/>
          <w:rtl/>
        </w:rPr>
        <w:t>المبالغة في تفريق القدمين</w:t>
      </w:r>
    </w:p>
    <w:p w14:paraId="23E673C4" w14:textId="3A230E91" w:rsidR="00BE15FE" w:rsidRDefault="0FF2E9AD" w:rsidP="0FF2E9AD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r w:rsidRPr="0FF2E9AD">
        <w:rPr>
          <w:rFonts w:ascii="Traditional Arabic" w:eastAsia="Traditional Arabic" w:hAnsi="Traditional Arabic" w:cs="Traditional Arabic"/>
          <w:sz w:val="36"/>
          <w:szCs w:val="36"/>
          <w:rtl/>
        </w:rPr>
        <w:t>المبالغة في تفريق القدمين أو المبالغة في إلصاقهما ببعض</w:t>
      </w:r>
      <w:bookmarkEnd w:id="0"/>
    </w:p>
    <w:sectPr w:rsidR="00BE15FE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F2E9AD"/>
    <w:rsid w:val="007923F8"/>
    <w:rsid w:val="00BE15FE"/>
    <w:rsid w:val="0FF2E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4F8C307"/>
  <w15:docId w15:val="{14A7EAC3-1C57-48A1-B398-3DABB136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